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TOAST PTA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November 21,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Meeting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Principal’s Report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Treasurer’s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Approval of October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Old Business: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Lunch/Recess- Hiring of extra staff/ Albany Health and Wellness Manual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Fundraising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Turkey Shoot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Parent Concerns/ Comments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New Business: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Parent Communication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Updated TOAST PTA Webpage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Creating a ClassDOJO account for the PTA to reach all 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December 1 Picture Retake Day- Do we Need Volunteers?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PJ’s for Presents- Yaika Davila has mentioned bringing this back and assisting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Scholastic Book Fair- Dec. 7th-12th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Possible Holiday Movie Night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Potential fundraisers for January and Spring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Easter Candy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Gertrude Hawk Chocolates/ Niagara Chocolates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Coupon- Save Around 2017 $25 a book School Receives Half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Panera- Dinner/ BBQ Fundraisers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